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53E9EEF" w14:textId="77777777" w:rsidR="0063689E" w:rsidRDefault="00000000">
      <w:pPr>
        <w:spacing w:before="48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MEMORANDUM</w:t>
      </w:r>
    </w:p>
    <w:p w14:paraId="053E9EF0" w14:textId="77777777" w:rsidR="0063689E" w:rsidRDefault="00000000">
      <w:pPr>
        <w:spacing w:before="48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TO:</w:t>
      </w:r>
      <w:r>
        <w:rPr>
          <w:rFonts w:ascii="Times New Roman" w:eastAsia="Times New Roman" w:hAnsi="Times New Roman" w:cs="Times New Roman"/>
          <w:sz w:val="24"/>
          <w:szCs w:val="24"/>
        </w:rPr>
        <w:t xml:space="preserve"> Sue Ellen Starr, President</w:t>
      </w: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FROM:</w:t>
      </w:r>
      <w:r>
        <w:rPr>
          <w:rFonts w:ascii="Times New Roman" w:eastAsia="Times New Roman" w:hAnsi="Times New Roman" w:cs="Times New Roman"/>
          <w:sz w:val="24"/>
          <w:szCs w:val="24"/>
        </w:rPr>
        <w:t xml:space="preserve"> Risk Manager, Lone Starr Exploration &amp; Production, Inc.</w:t>
      </w: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DATE:</w:t>
      </w:r>
      <w:r>
        <w:rPr>
          <w:rFonts w:ascii="Times New Roman" w:eastAsia="Times New Roman" w:hAnsi="Times New Roman" w:cs="Times New Roman"/>
          <w:sz w:val="24"/>
          <w:szCs w:val="24"/>
        </w:rPr>
        <w:t xml:space="preserve"> February 8, 2026</w:t>
      </w: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RE:</w:t>
      </w:r>
      <w:r>
        <w:rPr>
          <w:rFonts w:ascii="Times New Roman" w:eastAsia="Times New Roman" w:hAnsi="Times New Roman" w:cs="Times New Roman"/>
          <w:sz w:val="24"/>
          <w:szCs w:val="24"/>
        </w:rPr>
        <w:t xml:space="preserve"> Risk Considerations in Interstate Transportation of Drilling Equipment</w:t>
      </w:r>
      <w:r>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Case Reference:</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Hi Ridge Services, Inc. v. Douglas G. Alford Company, LLC</w:t>
      </w:r>
      <w:r>
        <w:rPr>
          <w:rFonts w:ascii="Times New Roman" w:eastAsia="Times New Roman" w:hAnsi="Times New Roman" w:cs="Times New Roman"/>
          <w:sz w:val="24"/>
          <w:szCs w:val="24"/>
        </w:rPr>
        <w:t>, No. 5:22-CV-319-H (N.D. Tex.)</w:t>
      </w:r>
    </w:p>
    <w:p w14:paraId="053E9EF1" w14:textId="77777777" w:rsidR="0063689E" w:rsidRDefault="00000000">
      <w:pPr>
        <w:spacing w:before="240" w:after="240"/>
        <w:rPr>
          <w:rFonts w:ascii="Times New Roman" w:eastAsia="Times New Roman" w:hAnsi="Times New Roman" w:cs="Times New Roman"/>
          <w:sz w:val="24"/>
          <w:szCs w:val="24"/>
        </w:rPr>
      </w:pPr>
      <w:r>
        <w:pict w14:anchorId="053E9F11">
          <v:rect id="_x0000_i1025" style="width:0;height:1.5pt" o:hralign="center" o:hrstd="t" o:hr="t" fillcolor="#a0a0a0" stroked="f"/>
        </w:pict>
      </w:r>
    </w:p>
    <w:p w14:paraId="053E9EF2" w14:textId="77777777" w:rsidR="0063689E" w:rsidRDefault="00000000">
      <w:pPr>
        <w:spacing w:after="8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EXECUTIVE SUMMARY</w:t>
      </w:r>
    </w:p>
    <w:p w14:paraId="053E9EF3"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As requested, the following risk analysis and recommendation report provides Lone Starr Exploration &amp; Production, Inc. (</w:t>
      </w:r>
      <w:r>
        <w:rPr>
          <w:rFonts w:ascii="Times New Roman" w:eastAsia="Times New Roman" w:hAnsi="Times New Roman" w:cs="Times New Roman"/>
          <w:i/>
          <w:iCs/>
        </w:rPr>
        <w:t>Lone Starr E&amp;P</w:t>
      </w:r>
      <w:r>
        <w:rPr>
          <w:rFonts w:ascii="Times New Roman" w:eastAsia="Times New Roman" w:hAnsi="Times New Roman" w:cs="Times New Roman"/>
        </w:rPr>
        <w:t>), a better understanding of risks that must be identified, and, to the best of their ability, mitigated in preparation for relocating an oil rig from North Dakota to Texas.</w:t>
      </w:r>
    </w:p>
    <w:p w14:paraId="053E9EF4"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Based on the recommendation from your professional colleague at Ewing &amp; Barnes, an overview and analysis of the federal case between Hi Ridge Services, Inc. v. Douglas G. Alford Company, LLC, and Douglas G. Alford (“</w:t>
      </w:r>
      <w:r>
        <w:rPr>
          <w:rFonts w:ascii="Times New Roman" w:eastAsia="Times New Roman" w:hAnsi="Times New Roman" w:cs="Times New Roman"/>
          <w:i/>
          <w:iCs/>
        </w:rPr>
        <w:t>Hi Ridge” and “Alford”, respectively</w:t>
      </w:r>
      <w:r>
        <w:rPr>
          <w:rFonts w:ascii="Times New Roman" w:eastAsia="Times New Roman" w:hAnsi="Times New Roman" w:cs="Times New Roman"/>
        </w:rPr>
        <w:t xml:space="preserve">) follows. This case arose from damage to Hi Ridge’s drilling rig while Alford was transporting said rig from North Dakota to Texas under an executed contract for services. Litigation was dismissed at the pleading stage, leaving Hi Ridge without compensation for property damage and business losses due to an inoperable piece of equipment. Due to the narrow scope of post-accident remedies under federal law, it is imperative that Lone Starr E&amp;P address key risks demonstrated in </w:t>
      </w:r>
      <w:r>
        <w:rPr>
          <w:rFonts w:ascii="Times New Roman" w:eastAsia="Times New Roman" w:hAnsi="Times New Roman" w:cs="Times New Roman"/>
          <w:i/>
          <w:iCs/>
        </w:rPr>
        <w:t xml:space="preserve">Hi Ridge v Alford </w:t>
      </w:r>
      <w:r>
        <w:rPr>
          <w:rFonts w:ascii="Times New Roman" w:eastAsia="Times New Roman" w:hAnsi="Times New Roman" w:cs="Times New Roman"/>
        </w:rPr>
        <w:t>before contracts are executed and shipment begins, as there are limited opportunities to correct mistakes afterward. The four sections following this summary will provide more detailed information regarding the underlying issues, the procedural facts, potential risks for Lone Starr E&amp;P, and information regarding use of outside counsel.</w:t>
      </w:r>
    </w:p>
    <w:p w14:paraId="053E9EF5"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However, to quickly answer the most important questions – yes, Lone Starr E&amp;P should retain local, outside legal counsel with experience in interstate transportation in the energy-sector before proceeding to help ensure Lone Starr E&amp;P’s interests are protected and potential losses are not compounded by avoidable legal limitations.</w:t>
      </w:r>
    </w:p>
    <w:p w14:paraId="053E9EF6" w14:textId="77777777" w:rsidR="0063689E" w:rsidRDefault="00000000">
      <w:pPr>
        <w:spacing w:after="8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 BASIC FACTS OF THE UNDERLYING DISPUTE</w:t>
      </w:r>
    </w:p>
    <w:p w14:paraId="053E9EF7"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 xml:space="preserve">Hi Ridge contracted with Alford to transport a drilling rig from North Dakota to Texas. According to allegations accepted by the court (Doc. 17), Alford stated that it could safely transport the rig, and that it would and could accept responsibility for any damage the rig might suffer during transport. Alford assured Hi Ridge they had adequate insurance coverage. Before a contract was executed, Alford delivered to Hi Ridge a bill of lading that significantly undervalued the rig; however, Hi Ridge alleges that Alford made assurances that the low valuation was only related to transportation processes and had no other legal </w:t>
      </w:r>
      <w:r>
        <w:rPr>
          <w:rFonts w:ascii="Times New Roman" w:eastAsia="Times New Roman" w:hAnsi="Times New Roman" w:cs="Times New Roman"/>
        </w:rPr>
        <w:lastRenderedPageBreak/>
        <w:t>implications for Hi Ridge. Due to these assurances, Hi Ridge executed a contract with Alford, and the rig was delivered to Alford in working order. Unfortunately, during transport, Alford’s driver was involved in a driving accident and the rig sustained significant damage. And this is when things went sideways.</w:t>
      </w:r>
    </w:p>
    <w:p w14:paraId="053E9EF8"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Alford’s insurance carrier relied on the bill of lading as the controlling valuation of the rig and offered Hi Ridge approximately $44,600 in compensation based on the stated per-pound value. Hi Ridge disputed this amount, asserting that it bore no reasonable relationship to the actual value of the rig or the scope of the damage sustained. As a result, Hi Ridge filed suit against Alford seeking recovery for both physical damage to the rig and associated financial losses stemming from the rig’s inoperability.</w:t>
      </w:r>
    </w:p>
    <w:p w14:paraId="053E9EF9"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Hi Ridge asserted the following causes of action: (1) violations of the Texas Deceptive Trade Practices Act (DTPA); (2) breach of contract; and (3) negligence. (Doc. 17 at 2) Rather than disputing the occurrence of the accident or the resulting damage, Alford challenged the legal basis of Hi Ridge’s claims, arguing that the lawsuit was barred by federal law governing interstate transportation of goods.</w:t>
      </w:r>
    </w:p>
    <w:p w14:paraId="053E9EFA" w14:textId="77777777" w:rsidR="0063689E" w:rsidRDefault="00000000">
      <w:pPr>
        <w:spacing w:before="240" w:after="240"/>
        <w:rPr>
          <w:rFonts w:ascii="Times New Roman" w:eastAsia="Times New Roman" w:hAnsi="Times New Roman" w:cs="Times New Roman"/>
        </w:rPr>
      </w:pPr>
      <w:r>
        <w:rPr>
          <w:rFonts w:ascii="Times New Roman" w:eastAsia="Times New Roman" w:hAnsi="Times New Roman" w:cs="Times New Roman"/>
        </w:rPr>
        <w:t>Specifically, Alford filed a motion to dismiss pursuant to Federal Rules of Civil Procedure Rule12(b)(6), asserting that all of Hi Ridge’s claims were preempted by the Carmack Amendment, which provides the exclusive remedy for loss or damage to goods transported in interstate commerce, regardless of how they were framed or whether the alleged misrepresentations occurred before the contract was executed. The Court emphasized that because the alleged injury arose from damage to goods during interstate transport, federal law controlled and displaced all state-law remedies. (Doc 17)</w:t>
      </w:r>
    </w:p>
    <w:p w14:paraId="053E9EFB"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rPr>
        <w:t xml:space="preserve">As a result, Hi Ridge’s claims were dismissed with prejudice at the pleading stage, leaving Hi Ridge without recovery for the damaged rig or related business losses. The Court’s ruling makes clear that once an interstate shipment is underway, the legal framework governing liability is narrow and unforgiving, and that opportunities to correct contractual or valuation errors after an accident are extremely limited. </w:t>
      </w:r>
    </w:p>
    <w:p w14:paraId="053E9EFC" w14:textId="77777777" w:rsidR="0063689E" w:rsidRDefault="0000000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II. PROCEDURAL HISTORY OF THE LITIGATION</w:t>
      </w:r>
    </w:p>
    <w:p w14:paraId="053E9EFD"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Hi Ridge initiated the lawsuit by filing a complaint in the United States District Court for the Northern District of Texas. In its complaint, Hi Ridge invoked the court’s diversity jurisdiction, alleging that the parties were citizens of different states and that the amount in controversy exceeded $75,000. Hi Ridge asserted three state-law causes of action arising from the damage to its drilling rig during interstate transportation: violations of the Texas Deceptive Trade Practices Act, breach of contract, and negligence.</w:t>
      </w:r>
    </w:p>
    <w:p w14:paraId="053E9EFE"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Rather than filing an answer addressing the factual allegations in the complaint, the defendants responded by filing a motion to dismiss pursuant to Rule 12(b)(6) of the Federal Rules of Civil Procedure. Through this motion, the defendants argued that even if all of Hi Ridge’s factual allegations were accepted as true, the claims nevertheless failed as a matter of law. Specifically, the defendants contended that the Carmack Amendment governs liability for damage to goods transported in interstate commerce and provides the exclusive remedy for such losses. According to the defendants, this federal statutory framework preempted all of Hi Ridge’s state-law claims, requiring dismissal at the pleading stage.</w:t>
      </w:r>
    </w:p>
    <w:p w14:paraId="053E9EFF"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Hi Ridge filed a response opposing the motion to dismiss. In its response, Hi Ridge did not dispute that the drilling rig was transported across state lines or that the damage occurred during interstate shipment. Instead, Hi Ridge argued that its claims fell outside the scope of Carmack preemption because they were based on representations allegedly made before the shipping contract was finalized. Hi Ridge contended that claims for fraudulent inducement and deceptive trade practices should survive because they related to pre-shipment conduct rather than the transportation itself.</w:t>
      </w:r>
    </w:p>
    <w:p w14:paraId="053E9F00"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 defendants subsequently filed a reply in support of their motion to dismiss. In their reply, the defendants emphasized that courts have consistently rejected attempts to avoid Carmack preemption by reframing shipment-related claims as pre-contractual misrepresentation or fraud. They argued that because Hi Ridge’s alleged injuries arose from damage to goods during interstate transportation, federal law controlled regardless of how the claims were labeled.</w:t>
      </w:r>
    </w:p>
    <w:p w14:paraId="053E9F01"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After reviewing the pleadings, the court granted the defendants’ motion to dismiss. In its final order, the court explained that the Carmack Amendment broadly preempts state-law claims whenever the alleged injury arises from damage to goods transported in interstate commerce. The court rejected Hi Ridge’s attempt to distinguish pre-contract representations from shipment-related injuries, concluding that such distinctions did not alter the applicability of federal law. Importantly, the court emphasized that its ruling did not turn on the carrier’s conduct or the severity of the damage, but on the threshold legal determination that federal transportation law governed the dispute and displaced state-law remedies.</w:t>
      </w:r>
    </w:p>
    <w:p w14:paraId="053E9F02"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Because the court concluded that all claims were barred as a matter of law, it dismissed the case with prejudice, ending the litigation at the pleading stage without discovery, substantive motion practice, or trial.</w:t>
      </w:r>
    </w:p>
    <w:p w14:paraId="053E9F03" w14:textId="77777777" w:rsidR="0063689E" w:rsidRDefault="00000000">
      <w:pPr>
        <w:spacing w:after="8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III. POTENTIAL RISKS FOR LONE STARR E&amp;P IN TRANSPORTING EQUIPMENT</w:t>
      </w:r>
    </w:p>
    <w:p w14:paraId="053E9F04"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xml:space="preserve"> case demonstrates that the Carmack Amendment controls liability for interstate equipment transport, meaning that risk allocation is largely determined before shipment begins rather than after damage occurs.</w:t>
      </w:r>
    </w:p>
    <w:p w14:paraId="053E9F05"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 the case highlights the risk associated with equipment valuation in shipping documents. In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the bill of lading listed a per-pound valuation that the shipper believed was administrative. The court nevertheless treated that valuation as legally operative. If Lone Starr understates the value of its equipment or relies on informal explanations regarding valuation language, potential recovery for damage may be significantly limited.</w:t>
      </w:r>
    </w:p>
    <w:p w14:paraId="053E9F06"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 the case underscores the risk of relying on verbal or informal insurance assurances. Hi Ridge alleged that the carrier represented it carried sufficient insurance and provided a certificate of coverage. These representations did not preserve Hi Ridge’s claims once federal law applied. </w:t>
      </w:r>
      <w:r>
        <w:rPr>
          <w:rFonts w:ascii="Times New Roman" w:eastAsia="Times New Roman" w:hAnsi="Times New Roman" w:cs="Times New Roman"/>
          <w:sz w:val="24"/>
          <w:szCs w:val="24"/>
        </w:rPr>
        <w:lastRenderedPageBreak/>
        <w:t>This illustrates the importance of independently verifying policy limits, exclusions, and applicability to high-value drilling equipment.</w:t>
      </w:r>
    </w:p>
    <w:p w14:paraId="053E9F07"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Third, the case reveals a broader recourse risk. Even when damage is undisputed, federal law may bar recovery under state statutes and common-law theories that businesses often assume will apply. Without advance planning, a company may face substantial losses with limited legal remedies, despite having acted in good faith and hired an experienced carrier.</w:t>
      </w:r>
    </w:p>
    <w:p w14:paraId="053E9F08"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a risk-management perspective, the most significant takeaway from the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xml:space="preserve"> litigation is that legal exposure in interstate equipment transport is often determined long before a vehicle begins its route. Once equipment is damaged during interstate shipment, the available remedies may be limited regardless of fault, severity of loss, or prior assurances from the carrier. This places heightened importance on contract terms, valuation statements, and insurance verification as primary risk controls rather than fallback protections. For a company such as Lone Starr, which relies on high-value, specialized equipment to maintain operations, even a single transportation incident could result in losses that exceed anticipated insurance recovery. Accordingly, transportation arrangements should be viewed as a strategic risk decision rather than a routine logistical task.</w:t>
      </w:r>
    </w:p>
    <w:p w14:paraId="053E9F09" w14:textId="77777777" w:rsidR="0063689E" w:rsidRDefault="0000000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IV. RECOMMENDATION REGARDING RETENTION OF OUTSIDE LEGAL COUNSEL</w:t>
      </w:r>
    </w:p>
    <w:p w14:paraId="053E9F0A"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Based on the risks identified in the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xml:space="preserve"> litigation, Lone Starr E&amp;P should retain outside legal counsel in connection with its planned rig relocation. The purpose of engaging counsel would be preventive rather than reactive.</w:t>
      </w:r>
    </w:p>
    <w:p w14:paraId="053E9F0B"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Counsel experienced in interstate transportation and energy-sector operations can assist Lone Starr in reviewing and negotiating transportation contracts, bills of lading, valuation provisions, and liability allocations to ensure they accurately reflect the company’s risk tolerance and the true value of its equipment. Legal review can also help confirm that carrier insurance coverage is adequate, properly documented, and appropriate for potential losses.</w:t>
      </w:r>
    </w:p>
    <w:p w14:paraId="053E9F0C"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Timing is also a critical consideration. The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xml:space="preserve"> case demonstrates that legal remedies narrow quickly once a transportation agreement is executed and equipment is placed in transit. Engaging counsel only after an accident occurs may limit available options and increase overall exposure. By contrast, consulting counsel during the planning phase allows Lone Starr to identify legal constraints, evaluate alternative risk-allocation strategies, and address issues proactively. This approach aligns with best practices in enterprise risk management and reduces the likelihood that a single transportation incident will result in disproportionate financial impact.</w:t>
      </w:r>
    </w:p>
    <w:p w14:paraId="053E9F0D"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i/>
          <w:iCs/>
          <w:sz w:val="24"/>
          <w:szCs w:val="24"/>
        </w:rPr>
        <w:t>Hi Ridge</w:t>
      </w:r>
      <w:r>
        <w:rPr>
          <w:rFonts w:ascii="Times New Roman" w:eastAsia="Times New Roman" w:hAnsi="Times New Roman" w:cs="Times New Roman"/>
          <w:sz w:val="24"/>
          <w:szCs w:val="24"/>
        </w:rPr>
        <w:t xml:space="preserve"> litigation also illustrates procedural complexities that can arise once a dispute reaches federal court, including compliance with local rules such as local-counsel requirements </w:t>
      </w:r>
      <w:r>
        <w:rPr>
          <w:rFonts w:ascii="Times New Roman" w:eastAsia="Times New Roman" w:hAnsi="Times New Roman" w:cs="Times New Roman"/>
          <w:sz w:val="24"/>
          <w:szCs w:val="24"/>
        </w:rPr>
        <w:lastRenderedPageBreak/>
        <w:t>in the Northern District of Texas. Engaging counsel familiar with federal transportation law and regional court practices reduces the risk of costly missteps if a dispute arises.</w:t>
      </w:r>
    </w:p>
    <w:p w14:paraId="053E9F0E" w14:textId="604AE712"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Ewing &amp; Barnes may be an appropriate firm to </w:t>
      </w:r>
      <w:r w:rsidR="00BA2B1A">
        <w:rPr>
          <w:rFonts w:ascii="Times New Roman" w:eastAsia="Times New Roman" w:hAnsi="Times New Roman" w:cs="Times New Roman"/>
          <w:sz w:val="24"/>
          <w:szCs w:val="24"/>
        </w:rPr>
        <w:t>consult,</w:t>
      </w:r>
      <w:r>
        <w:rPr>
          <w:rFonts w:ascii="Times New Roman" w:eastAsia="Times New Roman" w:hAnsi="Times New Roman" w:cs="Times New Roman"/>
          <w:sz w:val="24"/>
          <w:szCs w:val="24"/>
        </w:rPr>
        <w:t xml:space="preserve"> given its familiarity with the subject matter, Lone Starr should select counsel based on experience with interstate equipment transport, oil and gas operations, and federal regulatory frameworks. At a minimum, consultation with qualified outside counsel before finalizing transportation arrangements is a prudent risk-management measure.</w:t>
      </w:r>
    </w:p>
    <w:p w14:paraId="053E9F0F" w14:textId="77777777" w:rsidR="0063689E" w:rsidRDefault="0000000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CONCLUSION</w:t>
      </w:r>
    </w:p>
    <w:p w14:paraId="053E9F10" w14:textId="77777777" w:rsidR="0063689E"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i/>
          <w:iCs/>
          <w:sz w:val="24"/>
          <w:szCs w:val="24"/>
        </w:rPr>
        <w:t>Hi Ridge Services</w:t>
      </w:r>
      <w:r>
        <w:rPr>
          <w:rFonts w:ascii="Times New Roman" w:eastAsia="Times New Roman" w:hAnsi="Times New Roman" w:cs="Times New Roman"/>
          <w:sz w:val="24"/>
          <w:szCs w:val="24"/>
        </w:rPr>
        <w:t xml:space="preserve"> litigation provides a clear warning that interstate transportation of large drilling equipment carries legal risks that are not always intuitive to non-lawyers. Federal law governs liability for shipment damage, and state-law remedies may be unavailable regardless of fault or prior assurances. For Lone Starr E&amp;P, the most effective way to mitigate these risks is through careful advance planning, contract review, and insurance verification before equipment is moved. Retaining experienced outside legal counsel prior to the relocation will help ensure that Lone Starr’s interests are protected and that potential losses are not compounded by avoidable legal limitations.</w:t>
      </w:r>
    </w:p>
    <w:sectPr w:rsidR="0063689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B35C5A6E-C414-4307-84D9-23CA46205817}"/>
  </w:font>
  <w:font w:name="Cambria">
    <w:panose1 w:val="02040503050406030204"/>
    <w:charset w:val="00"/>
    <w:family w:val="roman"/>
    <w:pitch w:val="variable"/>
    <w:sig w:usb0="E00006FF" w:usb1="420024FF" w:usb2="02000000" w:usb3="00000000" w:csb0="0000019F" w:csb1="00000000"/>
    <w:embedRegular r:id="rId2" w:fontKey="{F210402E-4F38-4EE7-8747-9CFE0C617CF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89E"/>
    <w:rsid w:val="00391A8C"/>
    <w:rsid w:val="0063689E"/>
    <w:rsid w:val="00BA2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E9EEF"/>
  <w15:docId w15:val="{4E3B725C-43A8-4650-BA64-7029F1E5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2019</Words>
  <Characters>11513</Characters>
  <Application>Microsoft Office Word</Application>
  <DocSecurity>0</DocSecurity>
  <Lines>95</Lines>
  <Paragraphs>27</Paragraphs>
  <ScaleCrop>false</ScaleCrop>
  <Company/>
  <LinksUpToDate>false</LinksUpToDate>
  <CharactersWithSpaces>13505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Pressler</cp:lastModifiedBy>
  <cp:revision>2</cp:revision>
  <dcterms:created xsi:type="dcterms:W3CDTF">2026-02-09T05:59:00Z</dcterms:created>
  <dcterms:modified xsi:type="dcterms:W3CDTF">2026-02-09T05:59:00Z</dcterms:modified>
</cp:coreProperties>
</file>